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3423D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3423DF" w:rsidP="003423DF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3423DF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3423DF">
              <w:rPr>
                <w:b/>
                <w:spacing w:val="-2"/>
                <w:sz w:val="28"/>
                <w:szCs w:val="28"/>
              </w:rPr>
              <w:t>23</w:t>
            </w:r>
            <w:r w:rsidR="00520B3D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Default="00CD42B3" w:rsidP="003423DF">
      <w:pPr>
        <w:pStyle w:val="a3"/>
        <w:jc w:val="center"/>
        <w:rPr>
          <w:sz w:val="20"/>
        </w:rPr>
      </w:pPr>
      <w:proofErr w:type="spellStart"/>
      <w:r w:rsidRPr="00CD42B3">
        <w:rPr>
          <w:b/>
          <w:sz w:val="28"/>
          <w:szCs w:val="28"/>
        </w:rPr>
        <w:t>с.</w:t>
      </w:r>
      <w:r w:rsidR="003423DF">
        <w:rPr>
          <w:b/>
          <w:sz w:val="28"/>
          <w:szCs w:val="28"/>
        </w:rPr>
        <w:t>Уйгат</w:t>
      </w:r>
      <w:proofErr w:type="spellEnd"/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3423DF">
        <w:rPr>
          <w:b/>
          <w:bCs/>
          <w:i/>
          <w:iCs/>
          <w:sz w:val="28"/>
          <w:szCs w:val="28"/>
        </w:rPr>
        <w:t>Кирейского</w:t>
      </w:r>
      <w:proofErr w:type="spellEnd"/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proofErr w:type="spellStart"/>
      <w:r w:rsidR="003423DF">
        <w:rPr>
          <w:sz w:val="28"/>
          <w:szCs w:val="28"/>
        </w:rPr>
        <w:t>Кирейского</w:t>
      </w:r>
      <w:proofErr w:type="spellEnd"/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proofErr w:type="spellStart"/>
      <w:r w:rsidR="003423DF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proofErr w:type="spellStart"/>
      <w:r w:rsidR="003423DF"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B12281" w:rsidRPr="00B12281">
        <w:rPr>
          <w:sz w:val="28"/>
          <w:szCs w:val="28"/>
        </w:rPr>
        <w:t>12</w:t>
      </w:r>
      <w:r w:rsidRPr="00B12281">
        <w:rPr>
          <w:sz w:val="28"/>
          <w:szCs w:val="28"/>
        </w:rPr>
        <w:t>.0</w:t>
      </w:r>
      <w:r w:rsidR="00B12281" w:rsidRPr="00B12281">
        <w:rPr>
          <w:sz w:val="28"/>
          <w:szCs w:val="28"/>
        </w:rPr>
        <w:t>4</w:t>
      </w:r>
      <w:r w:rsidRPr="00B12281">
        <w:rPr>
          <w:sz w:val="28"/>
          <w:szCs w:val="28"/>
        </w:rPr>
        <w:t xml:space="preserve">.2024 г. № </w:t>
      </w:r>
      <w:r w:rsidR="00B12281" w:rsidRPr="00B12281">
        <w:rPr>
          <w:sz w:val="28"/>
          <w:szCs w:val="28"/>
        </w:rPr>
        <w:t>25б-рг</w:t>
      </w:r>
      <w:r w:rsidR="00B122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proofErr w:type="spellStart"/>
      <w:r w:rsidR="003423DF">
        <w:rPr>
          <w:sz w:val="28"/>
          <w:szCs w:val="28"/>
        </w:rPr>
        <w:t>Кирейского</w:t>
      </w:r>
      <w:proofErr w:type="spellEnd"/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</w:t>
      </w:r>
      <w:proofErr w:type="spellStart"/>
      <w:r w:rsidR="003423DF">
        <w:rPr>
          <w:sz w:val="28"/>
          <w:szCs w:val="28"/>
        </w:rPr>
        <w:t>Кирейский</w:t>
      </w:r>
      <w:proofErr w:type="spellEnd"/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3423DF">
        <w:rPr>
          <w:sz w:val="28"/>
          <w:szCs w:val="28"/>
        </w:rPr>
        <w:t>Кирейского</w:t>
      </w:r>
      <w:proofErr w:type="spellEnd"/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proofErr w:type="spellStart"/>
      <w:r w:rsidR="003423DF">
        <w:rPr>
          <w:spacing w:val="-5"/>
          <w:sz w:val="28"/>
          <w:szCs w:val="28"/>
        </w:rPr>
        <w:t>Кирейского</w:t>
      </w:r>
      <w:proofErr w:type="spellEnd"/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</w:t>
      </w:r>
      <w:bookmarkStart w:id="0" w:name="_GoBack"/>
      <w:r w:rsidR="00526A06">
        <w:rPr>
          <w:sz w:val="28"/>
          <w:szCs w:val="28"/>
        </w:rPr>
        <w:t xml:space="preserve"> </w:t>
      </w:r>
      <w:bookmarkEnd w:id="0"/>
      <w:r w:rsidR="00526A06">
        <w:rPr>
          <w:sz w:val="28"/>
          <w:szCs w:val="28"/>
        </w:rPr>
        <w:t xml:space="preserve">                                              </w:t>
      </w:r>
      <w:proofErr w:type="spellStart"/>
      <w:r w:rsidR="003423DF">
        <w:rPr>
          <w:sz w:val="28"/>
          <w:szCs w:val="28"/>
        </w:rPr>
        <w:t>В.В.Гапоненко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3C1309" w:rsidP="00526A06">
      <w:pPr>
        <w:pStyle w:val="a3"/>
        <w:ind w:left="10632" w:right="232" w:hanging="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Кирейского</w:t>
      </w:r>
      <w:proofErr w:type="spellEnd"/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3423DF">
        <w:rPr>
          <w:sz w:val="20"/>
          <w:szCs w:val="20"/>
        </w:rPr>
        <w:t>2</w:t>
      </w:r>
      <w:r>
        <w:rPr>
          <w:sz w:val="20"/>
          <w:szCs w:val="20"/>
        </w:rPr>
        <w:t>7</w:t>
      </w:r>
      <w:r w:rsidR="00520B3D">
        <w:rPr>
          <w:sz w:val="20"/>
          <w:szCs w:val="20"/>
        </w:rPr>
        <w:t xml:space="preserve">.02.2025 г. № </w:t>
      </w:r>
      <w:r w:rsidR="003423DF">
        <w:rPr>
          <w:sz w:val="20"/>
          <w:szCs w:val="20"/>
        </w:rPr>
        <w:t>23</w:t>
      </w:r>
      <w:r w:rsidR="00520B3D">
        <w:rPr>
          <w:sz w:val="20"/>
          <w:szCs w:val="20"/>
        </w:rPr>
        <w:t>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proofErr w:type="spellStart"/>
      <w:r w:rsidR="003423DF" w:rsidRPr="003423DF">
        <w:rPr>
          <w:b/>
          <w:sz w:val="20"/>
          <w:szCs w:val="20"/>
        </w:rPr>
        <w:t>Кирейского</w:t>
      </w:r>
      <w:proofErr w:type="spellEnd"/>
      <w:r w:rsidR="003423DF">
        <w:rPr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3423D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3423D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3C1309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3C1309">
              <w:rPr>
                <w:sz w:val="20"/>
                <w:szCs w:val="20"/>
              </w:rPr>
              <w:t>Кирейского</w:t>
            </w:r>
            <w:proofErr w:type="spellEnd"/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3423D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3423DF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3423DF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proofErr w:type="spellStart"/>
            <w:r w:rsidR="003423DF">
              <w:rPr>
                <w:rFonts w:eastAsiaTheme="minorHAnsi"/>
                <w:sz w:val="20"/>
                <w:szCs w:val="20"/>
              </w:rPr>
              <w:t>Кирейского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3423DF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3423DF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proofErr w:type="spellStart"/>
            <w:r w:rsidR="003423DF">
              <w:rPr>
                <w:sz w:val="20"/>
                <w:szCs w:val="20"/>
              </w:rPr>
              <w:t>Кирейского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423DF"/>
    <w:rsid w:val="003812D8"/>
    <w:rsid w:val="003C1309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5D8"/>
    <w:rsid w:val="00A02A5D"/>
    <w:rsid w:val="00A433BB"/>
    <w:rsid w:val="00A57A5C"/>
    <w:rsid w:val="00A91419"/>
    <w:rsid w:val="00AA78A1"/>
    <w:rsid w:val="00AC6C4F"/>
    <w:rsid w:val="00B12281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CAA2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4</cp:revision>
  <cp:lastPrinted>2025-02-24T02:40:00Z</cp:lastPrinted>
  <dcterms:created xsi:type="dcterms:W3CDTF">2025-02-27T03:45:00Z</dcterms:created>
  <dcterms:modified xsi:type="dcterms:W3CDTF">2025-02-27T04:58:00Z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