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070CBD">
        <w:rPr>
          <w:b/>
          <w:color w:val="000000"/>
          <w:sz w:val="28"/>
          <w:szCs w:val="28"/>
        </w:rPr>
        <w:t>КИРЕЙСКОГО</w:t>
      </w:r>
      <w:r w:rsidRPr="00E86089">
        <w:rPr>
          <w:b/>
          <w:color w:val="000000"/>
          <w:sz w:val="28"/>
          <w:szCs w:val="28"/>
        </w:rPr>
        <w:t xml:space="preserve">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EC64DB" w:rsidRDefault="00EC64DB" w:rsidP="00D85A95">
      <w:pPr>
        <w:contextualSpacing/>
        <w:jc w:val="center"/>
        <w:rPr>
          <w:b/>
          <w:color w:val="000000"/>
          <w:sz w:val="28"/>
          <w:szCs w:val="28"/>
        </w:rPr>
      </w:pPr>
    </w:p>
    <w:tbl>
      <w:tblPr>
        <w:tblW w:w="9485" w:type="dxa"/>
        <w:tblLook w:val="01E0" w:firstRow="1" w:lastRow="1" w:firstColumn="1" w:lastColumn="1" w:noHBand="0" w:noVBand="0"/>
      </w:tblPr>
      <w:tblGrid>
        <w:gridCol w:w="9485"/>
      </w:tblGrid>
      <w:tr w:rsidR="00EC64DB" w:rsidRPr="00E727D1" w:rsidTr="00594BB0">
        <w:tc>
          <w:tcPr>
            <w:tcW w:w="9485" w:type="dxa"/>
          </w:tcPr>
          <w:p w:rsidR="00EC64DB" w:rsidRPr="00E727D1" w:rsidRDefault="00EC64DB" w:rsidP="00ED5711">
            <w:pPr>
              <w:pStyle w:val="ae"/>
              <w:ind w:left="142" w:right="-271"/>
              <w:jc w:val="left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«0</w:t>
            </w:r>
            <w:r w:rsidR="00ED5711">
              <w:rPr>
                <w:rFonts w:ascii="Times New Roman" w:hAnsi="Times New Roman"/>
                <w:b/>
                <w:spacing w:val="20"/>
                <w:sz w:val="28"/>
              </w:rPr>
              <w:t>1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» октября 2025</w:t>
            </w:r>
            <w:r w:rsidRPr="00E727D1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Pr="0097793E">
              <w:rPr>
                <w:rFonts w:ascii="Times New Roman" w:hAnsi="Times New Roman"/>
                <w:b/>
                <w:spacing w:val="20"/>
                <w:sz w:val="28"/>
              </w:rPr>
              <w:t xml:space="preserve">.                                          №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101</w:t>
            </w:r>
          </w:p>
        </w:tc>
      </w:tr>
      <w:tr w:rsidR="00EC64DB" w:rsidRPr="00E727D1" w:rsidTr="00594BB0">
        <w:tc>
          <w:tcPr>
            <w:tcW w:w="9485" w:type="dxa"/>
          </w:tcPr>
          <w:p w:rsidR="00EC64DB" w:rsidRPr="00E727D1" w:rsidRDefault="00EC64DB" w:rsidP="00594BB0">
            <w:pPr>
              <w:pStyle w:val="ae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с. Уйгат</w:t>
            </w:r>
          </w:p>
        </w:tc>
      </w:tr>
    </w:tbl>
    <w:p w:rsidR="00EC64DB" w:rsidRDefault="00EC64DB" w:rsidP="00EC64DB"/>
    <w:p w:rsidR="00EC64DB" w:rsidRPr="00E86089" w:rsidRDefault="00EC64DB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070CBD">
        <w:rPr>
          <w:rFonts w:ascii="Times New Roman" w:hAnsi="Times New Roman" w:cs="Times New Roman"/>
          <w:i/>
          <w:sz w:val="28"/>
          <w:szCs w:val="28"/>
        </w:rPr>
        <w:t>Кирейского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070CBD">
        <w:rPr>
          <w:sz w:val="28"/>
          <w:szCs w:val="28"/>
        </w:rPr>
        <w:t>Кирейского</w:t>
      </w:r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070CBD">
        <w:rPr>
          <w:sz w:val="28"/>
          <w:szCs w:val="28"/>
        </w:rPr>
        <w:t>Кирейского</w:t>
      </w:r>
      <w:r w:rsidR="00D85A95">
        <w:rPr>
          <w:sz w:val="28"/>
          <w:szCs w:val="28"/>
        </w:rPr>
        <w:t xml:space="preserve">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070CBD">
        <w:rPr>
          <w:kern w:val="2"/>
          <w:sz w:val="28"/>
          <w:szCs w:val="28"/>
        </w:rPr>
        <w:t>Кирейского с</w:t>
      </w:r>
      <w:r w:rsidR="00D85A95">
        <w:rPr>
          <w:kern w:val="2"/>
          <w:sz w:val="28"/>
          <w:szCs w:val="28"/>
        </w:rPr>
        <w:t>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r w:rsidR="00070CBD">
        <w:rPr>
          <w:kern w:val="2"/>
          <w:sz w:val="28"/>
          <w:szCs w:val="28"/>
        </w:rPr>
        <w:t>Кирейского</w:t>
      </w:r>
      <w:r w:rsidRPr="00D85A95">
        <w:rPr>
          <w:kern w:val="2"/>
          <w:sz w:val="28"/>
          <w:szCs w:val="28"/>
        </w:rPr>
        <w:t xml:space="preserve">  сельского поселения </w:t>
      </w:r>
      <w:r w:rsidRPr="00603BBD">
        <w:rPr>
          <w:kern w:val="2"/>
          <w:sz w:val="28"/>
          <w:szCs w:val="28"/>
        </w:rPr>
        <w:t xml:space="preserve">от </w:t>
      </w:r>
      <w:r w:rsidR="00603BBD" w:rsidRPr="00603BBD">
        <w:rPr>
          <w:kern w:val="2"/>
          <w:sz w:val="28"/>
          <w:szCs w:val="28"/>
        </w:rPr>
        <w:t>28</w:t>
      </w:r>
      <w:r w:rsidRPr="00603BBD">
        <w:rPr>
          <w:kern w:val="2"/>
          <w:sz w:val="28"/>
          <w:szCs w:val="28"/>
        </w:rPr>
        <w:t>.0</w:t>
      </w:r>
      <w:r w:rsidR="00603BBD" w:rsidRPr="00603BBD">
        <w:rPr>
          <w:kern w:val="2"/>
          <w:sz w:val="28"/>
          <w:szCs w:val="28"/>
        </w:rPr>
        <w:t>6</w:t>
      </w:r>
      <w:r w:rsidRPr="00603BBD">
        <w:rPr>
          <w:kern w:val="2"/>
          <w:sz w:val="28"/>
          <w:szCs w:val="28"/>
        </w:rPr>
        <w:t>.2016 года №</w:t>
      </w:r>
      <w:r w:rsidR="00603BBD" w:rsidRPr="00603BBD">
        <w:rPr>
          <w:kern w:val="2"/>
          <w:sz w:val="28"/>
          <w:szCs w:val="28"/>
        </w:rPr>
        <w:t>122/55</w:t>
      </w:r>
      <w:r w:rsidR="00603BB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070CBD">
        <w:rPr>
          <w:bCs/>
          <w:color w:val="000000"/>
          <w:sz w:val="28"/>
          <w:szCs w:val="28"/>
          <w:bdr w:val="none" w:sz="0" w:space="0" w:color="auto" w:frame="1"/>
        </w:rPr>
        <w:t>Кирейском</w:t>
      </w:r>
      <w:r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070CBD">
        <w:rPr>
          <w:sz w:val="28"/>
          <w:szCs w:val="28"/>
        </w:rPr>
        <w:t>Кирейский</w:t>
      </w:r>
      <w:r>
        <w:rPr>
          <w:sz w:val="28"/>
          <w:szCs w:val="28"/>
        </w:rPr>
        <w:t xml:space="preserve"> вестник» и разместить на официальном сайте администрации </w:t>
      </w:r>
      <w:r w:rsidR="00070CBD">
        <w:rPr>
          <w:sz w:val="28"/>
          <w:szCs w:val="28"/>
        </w:rPr>
        <w:t>Кирейского</w:t>
      </w:r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70CBD">
        <w:rPr>
          <w:sz w:val="28"/>
          <w:szCs w:val="28"/>
        </w:rPr>
        <w:t>Кирейского</w:t>
      </w:r>
      <w:r>
        <w:rPr>
          <w:sz w:val="28"/>
          <w:szCs w:val="28"/>
        </w:rPr>
        <w:t xml:space="preserve">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070CB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70CB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70CBD">
        <w:rPr>
          <w:sz w:val="28"/>
          <w:szCs w:val="28"/>
        </w:rPr>
        <w:t>Гапоненко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070CBD">
              <w:rPr>
                <w:kern w:val="2"/>
                <w:sz w:val="28"/>
                <w:szCs w:val="28"/>
              </w:rPr>
              <w:t>Кирейского</w:t>
            </w:r>
            <w:r w:rsidR="00D85A9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E41749" w:rsidRPr="00355B4D" w:rsidRDefault="00C13973" w:rsidP="007A40BE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от «</w:t>
            </w:r>
            <w:r w:rsidR="00EC64DB">
              <w:rPr>
                <w:kern w:val="2"/>
                <w:sz w:val="28"/>
                <w:szCs w:val="28"/>
              </w:rPr>
              <w:t>0</w:t>
            </w:r>
            <w:r w:rsidR="007A40BE">
              <w:rPr>
                <w:kern w:val="2"/>
                <w:sz w:val="28"/>
                <w:szCs w:val="28"/>
              </w:rPr>
              <w:t>1</w:t>
            </w:r>
            <w:bookmarkStart w:id="0" w:name="_GoBack"/>
            <w:bookmarkEnd w:id="0"/>
            <w:r w:rsidRPr="00355B4D">
              <w:rPr>
                <w:kern w:val="2"/>
                <w:sz w:val="28"/>
                <w:szCs w:val="28"/>
              </w:rPr>
              <w:t>»</w:t>
            </w:r>
            <w:r w:rsidR="00EC64DB">
              <w:rPr>
                <w:kern w:val="2"/>
                <w:sz w:val="28"/>
                <w:szCs w:val="28"/>
              </w:rPr>
              <w:t xml:space="preserve"> октября </w:t>
            </w:r>
            <w:r w:rsidRPr="00355B4D">
              <w:rPr>
                <w:kern w:val="2"/>
                <w:sz w:val="28"/>
                <w:szCs w:val="28"/>
              </w:rPr>
              <w:t xml:space="preserve">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>№</w:t>
            </w:r>
            <w:r w:rsidR="00EC64DB">
              <w:rPr>
                <w:kern w:val="2"/>
                <w:sz w:val="28"/>
                <w:szCs w:val="28"/>
              </w:rPr>
              <w:t>101</w:t>
            </w:r>
            <w:r w:rsidR="00957657" w:rsidRPr="00355B4D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r w:rsidR="00843C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определяет порядок осуществления победителем конкурса по продаже акций акционерного общества, долей в уставном капитале общества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</w:t>
      </w:r>
      <w:r w:rsidR="00070CB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kirey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lastRenderedPageBreak/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070CBD">
        <w:rPr>
          <w:rFonts w:eastAsiaTheme="minorHAnsi"/>
          <w:iCs/>
          <w:sz w:val="28"/>
          <w:szCs w:val="28"/>
          <w:lang w:eastAsia="en-US"/>
        </w:rPr>
        <w:t>Кирейского</w:t>
      </w:r>
      <w:r w:rsidR="00114A5E" w:rsidRPr="00114A5E">
        <w:rPr>
          <w:sz w:val="28"/>
          <w:szCs w:val="28"/>
        </w:rPr>
        <w:t xml:space="preserve">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срок сохранения назначения имущества (в случае приватизации объектов социально-культурного и коммунально-бытового назначения (за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EC64DB">
      <w:pPr>
        <w:pStyle w:val="ConsPlusNormal"/>
        <w:widowControl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70CBD" w:rsidRPr="00AF24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kirey</w:t>
        </w:r>
        <w:r w:rsidR="00070CBD" w:rsidRPr="00AF241A">
          <w:rPr>
            <w:rStyle w:val="ac"/>
            <w:rFonts w:ascii="Times New Roman" w:hAnsi="Times New Roman" w:cs="Times New Roman"/>
            <w:sz w:val="28"/>
            <w:szCs w:val="28"/>
          </w:rPr>
          <w:t>.adm@</w:t>
        </w:r>
        <w:r w:rsidR="00070CBD" w:rsidRPr="00AF24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</w:hyperlink>
      <w:r w:rsidR="008A72DD" w:rsidRPr="008A72DD">
        <w:rPr>
          <w:rFonts w:ascii="Times New Roman" w:hAnsi="Times New Roman" w:cs="Times New Roman"/>
          <w:sz w:val="28"/>
          <w:szCs w:val="28"/>
        </w:rPr>
        <w:t>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5D" w:rsidRDefault="00823B5D" w:rsidP="00E41749">
      <w:r>
        <w:separator/>
      </w:r>
    </w:p>
  </w:endnote>
  <w:endnote w:type="continuationSeparator" w:id="0">
    <w:p w:rsidR="00823B5D" w:rsidRDefault="00823B5D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5D" w:rsidRDefault="00823B5D" w:rsidP="00E41749">
      <w:r>
        <w:separator/>
      </w:r>
    </w:p>
  </w:footnote>
  <w:footnote w:type="continuationSeparator" w:id="0">
    <w:p w:rsidR="00823B5D" w:rsidRDefault="00823B5D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40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0CBD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944D3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86608"/>
    <w:rsid w:val="005C253C"/>
    <w:rsid w:val="005C27ED"/>
    <w:rsid w:val="005D7C10"/>
    <w:rsid w:val="005F04D9"/>
    <w:rsid w:val="005F6D66"/>
    <w:rsid w:val="00603BBD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5A13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A40BE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3B5D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755ED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6133E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C64DB"/>
    <w:rsid w:val="00ED5711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19D1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BD0D"/>
  <w15:docId w15:val="{F113B2B4-18EF-49A6-A56D-4113EE49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  <w:style w:type="paragraph" w:customStyle="1" w:styleId="ae">
    <w:name w:val="Шапка (герб)"/>
    <w:basedOn w:val="a"/>
    <w:rsid w:val="00EC64DB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rey.adm@ya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F562-4CDE-4370-A88E-AE7A25EF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3</cp:revision>
  <cp:lastPrinted>2025-10-01T08:40:00Z</cp:lastPrinted>
  <dcterms:created xsi:type="dcterms:W3CDTF">2025-10-03T07:39:00Z</dcterms:created>
  <dcterms:modified xsi:type="dcterms:W3CDTF">2025-10-03T07:39:00Z</dcterms:modified>
</cp:coreProperties>
</file>